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2E" w:rsidRDefault="00D73B2E" w:rsidP="00D73B2E">
      <w:pPr>
        <w:jc w:val="center"/>
      </w:pPr>
      <w:r w:rsidRPr="00D73B2E">
        <w:rPr>
          <w:noProof/>
          <w:lang w:eastAsia="es-AR"/>
        </w:rPr>
        <w:drawing>
          <wp:inline distT="0" distB="0" distL="0" distR="0">
            <wp:extent cx="1937383" cy="835236"/>
            <wp:effectExtent l="19050" t="0" r="5717" b="0"/>
            <wp:docPr id="4" name="2 Imagen" descr="LaborGest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GestSalud.jpg"/>
                    <pic:cNvPicPr/>
                  </pic:nvPicPr>
                  <pic:blipFill>
                    <a:blip r:embed="rId8"/>
                    <a:stretch>
                      <a:fillRect/>
                    </a:stretch>
                  </pic:blipFill>
                  <pic:spPr>
                    <a:xfrm>
                      <a:off x="0" y="0"/>
                      <a:ext cx="1944356" cy="838242"/>
                    </a:xfrm>
                    <a:prstGeom prst="rect">
                      <a:avLst/>
                    </a:prstGeom>
                  </pic:spPr>
                </pic:pic>
              </a:graphicData>
            </a:graphic>
          </wp:inline>
        </w:drawing>
      </w:r>
      <w:r w:rsidR="007A3099">
        <w:rPr>
          <w:b/>
          <w:noProof/>
          <w:lang w:eastAsia="es-AR"/>
        </w:rPr>
        <w:drawing>
          <wp:inline distT="0" distB="0" distL="0" distR="0">
            <wp:extent cx="1487055" cy="923721"/>
            <wp:effectExtent l="19050" t="0" r="0" b="0"/>
            <wp:docPr id="1" name="0 Imagen" descr="id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b.jpg"/>
                    <pic:cNvPicPr/>
                  </pic:nvPicPr>
                  <pic:blipFill>
                    <a:blip r:embed="rId9"/>
                    <a:stretch>
                      <a:fillRect/>
                    </a:stretch>
                  </pic:blipFill>
                  <pic:spPr>
                    <a:xfrm>
                      <a:off x="0" y="0"/>
                      <a:ext cx="1487710" cy="924128"/>
                    </a:xfrm>
                    <a:prstGeom prst="rect">
                      <a:avLst/>
                    </a:prstGeom>
                  </pic:spPr>
                </pic:pic>
              </a:graphicData>
            </a:graphic>
          </wp:inline>
        </w:drawing>
      </w:r>
    </w:p>
    <w:p w:rsidR="00BE4F9C" w:rsidRDefault="00BE4F9C" w:rsidP="007A3099">
      <w:pPr>
        <w:jc w:val="center"/>
        <w:rPr>
          <w:b/>
          <w:sz w:val="28"/>
          <w:szCs w:val="28"/>
        </w:rPr>
      </w:pPr>
    </w:p>
    <w:p w:rsidR="00400030" w:rsidRDefault="00400030" w:rsidP="007A3099">
      <w:pPr>
        <w:jc w:val="center"/>
        <w:rPr>
          <w:b/>
          <w:sz w:val="28"/>
          <w:szCs w:val="28"/>
        </w:rPr>
      </w:pPr>
      <w:r>
        <w:rPr>
          <w:b/>
          <w:sz w:val="28"/>
          <w:szCs w:val="28"/>
        </w:rPr>
        <w:t xml:space="preserve">Biosimilares: Respuesta a la sustentabilidad, acceso y calidad de los Sistemas Sanitarios  </w:t>
      </w:r>
    </w:p>
    <w:p w:rsidR="00BE4F9C" w:rsidRDefault="00BE4F9C" w:rsidP="007A3099">
      <w:pPr>
        <w:jc w:val="center"/>
        <w:rPr>
          <w:b/>
          <w:sz w:val="28"/>
          <w:szCs w:val="28"/>
        </w:rPr>
      </w:pPr>
      <w:r>
        <w:rPr>
          <w:b/>
          <w:sz w:val="28"/>
          <w:szCs w:val="28"/>
        </w:rPr>
        <w:t xml:space="preserve">Organiza: Instituto de Economía del Bienestar  (IdEB) </w:t>
      </w:r>
      <w:r w:rsidR="00126DE1">
        <w:rPr>
          <w:b/>
          <w:sz w:val="28"/>
          <w:szCs w:val="28"/>
        </w:rPr>
        <w:t xml:space="preserve">y Laboratorio de Gestión en Salud (LGS) </w:t>
      </w:r>
    </w:p>
    <w:p w:rsidR="00282475" w:rsidRDefault="00282475" w:rsidP="00282475">
      <w:pPr>
        <w:spacing w:after="0" w:line="240" w:lineRule="auto"/>
        <w:jc w:val="both"/>
      </w:pPr>
      <w:r>
        <w:t xml:space="preserve">La organización – administración del sistema de salud constituye una limitación importante considerando su diseño diverso, fragmentado y complejo para avanzar hacia la universalización de la cobertura de enfermedades catastróficas. </w:t>
      </w:r>
    </w:p>
    <w:p w:rsidR="00282475" w:rsidRDefault="00282475" w:rsidP="00282475">
      <w:pPr>
        <w:spacing w:after="0" w:line="240" w:lineRule="auto"/>
        <w:jc w:val="both"/>
      </w:pPr>
    </w:p>
    <w:p w:rsidR="00282475" w:rsidRDefault="00282475" w:rsidP="00282475">
      <w:pPr>
        <w:spacing w:after="0" w:line="240" w:lineRule="auto"/>
        <w:jc w:val="both"/>
      </w:pPr>
      <w:r>
        <w:t xml:space="preserve">La alta fragmentación debilita la capacidad de compra dejando a la demanda institucional sin posibilidades de fijar las condiciones de negociación. En Argentina la baja intensidad de la gobernanza, la débil capacidad de compra, el reducido pool de riesgo, son una base que facilita las variaciones de precios que existen entre los bienes y servicios que se adquieren.  El trabajo realizado en el marco del Observatorio de precios de la Superintendencia de Servicios de Salud constituye una muestra de la Seguridad Social en la materia. </w:t>
      </w:r>
    </w:p>
    <w:p w:rsidR="00282475" w:rsidRDefault="00282475" w:rsidP="00282475">
      <w:pPr>
        <w:spacing w:after="0" w:line="240" w:lineRule="auto"/>
        <w:jc w:val="both"/>
      </w:pPr>
    </w:p>
    <w:p w:rsidR="00282475" w:rsidRDefault="00282475" w:rsidP="00282475">
      <w:pPr>
        <w:spacing w:after="0" w:line="240" w:lineRule="auto"/>
        <w:jc w:val="both"/>
      </w:pPr>
      <w:r>
        <w:t>El problema de las organizaciones sanitarias es similar al mercado ya que deben coordinar las decisiones y</w:t>
      </w:r>
      <w:r>
        <w:rPr>
          <w:lang w:val="es-ES_tradnl"/>
        </w:rPr>
        <w:t xml:space="preserve"> motivar el proceso de toma de decisiones en un sentido eficiente considerado la escasez de recursos. </w:t>
      </w:r>
      <w:r>
        <w:t>La fragmentación, los costos de administración, la corrupción y los problemas de eficiencia por falta de escala impactan fuertemente enel poder efectivo del financiamiento para comprar bienes y servicios de salud. Siguiendo a Williamson, estas distorsiones que se conocen como costos de transacción y que son diferentes a los costos de producción, son al sistema económico sanitario como las fricciones</w:t>
      </w:r>
      <w:r>
        <w:rPr>
          <w:rStyle w:val="Refdenotaalfinal"/>
        </w:rPr>
        <w:endnoteReference w:id="2"/>
      </w:r>
      <w:r>
        <w:t xml:space="preserve"> en el mundo de la física.  </w:t>
      </w:r>
    </w:p>
    <w:p w:rsidR="00282475" w:rsidRDefault="00282475" w:rsidP="00282475">
      <w:pPr>
        <w:spacing w:after="0" w:line="240" w:lineRule="auto"/>
        <w:jc w:val="both"/>
        <w:rPr>
          <w:lang w:val="es-ES_tradnl"/>
        </w:rPr>
      </w:pPr>
    </w:p>
    <w:p w:rsidR="00282475" w:rsidRDefault="00282475" w:rsidP="00282475">
      <w:pPr>
        <w:spacing w:line="240" w:lineRule="auto"/>
        <w:jc w:val="both"/>
      </w:pPr>
      <w:r>
        <w:t>Existen diferencias importantes en el acceso y calidad de servicios que reciben los beneficiarios según la Obra Social a la que pertenecen y su lugar de residencia. Por otra parte, y debido a la posibilidad de brindar planes suplementarios al PMO y la utilización de los aportes obligatorios como parte de la cuota a un prepago (en el caso de las Obras Sociales Nacionales), la cobertura al interior de cada obra social comenzó a depender de las cuotas suplementarias que pagan sus afiliados, lo que empeora aún más la solidaridad dentro de cada entidad.</w:t>
      </w:r>
    </w:p>
    <w:p w:rsidR="00282475" w:rsidRDefault="00282475" w:rsidP="00282475">
      <w:pPr>
        <w:spacing w:after="0" w:line="240" w:lineRule="auto"/>
        <w:jc w:val="both"/>
        <w:rPr>
          <w:color w:val="000000"/>
        </w:rPr>
      </w:pPr>
      <w:r>
        <w:rPr>
          <w:color w:val="000000"/>
        </w:rPr>
        <w:t xml:space="preserve">Las innovaciones que surgen de manera permanente y continuada en materia de medicamentos, tecnologías, procedimientos y dispositivos han generado respuestas institucionales al problema en otros sistemas de salud que no han podido germinar en la Argentina. O mejor dicho han tenido un reflejo convexo y parcial en línea con la fragmentación que acompaña la genética del sistema. </w:t>
      </w:r>
    </w:p>
    <w:p w:rsidR="00282475" w:rsidRDefault="00282475" w:rsidP="00282475">
      <w:pPr>
        <w:spacing w:after="0" w:line="240" w:lineRule="auto"/>
        <w:jc w:val="both"/>
        <w:rPr>
          <w:color w:val="000000"/>
        </w:rPr>
      </w:pPr>
    </w:p>
    <w:p w:rsidR="00282475" w:rsidRDefault="00282475" w:rsidP="00282475">
      <w:pPr>
        <w:spacing w:after="0" w:line="240" w:lineRule="auto"/>
        <w:jc w:val="both"/>
        <w:rPr>
          <w:color w:val="000000"/>
        </w:rPr>
      </w:pPr>
      <w:r>
        <w:rPr>
          <w:color w:val="000000"/>
        </w:rPr>
        <w:lastRenderedPageBreak/>
        <w:t xml:space="preserve">En los seminarios que se presentan a continuación se intentará reflexionar sobre las estrategias que estarán asumiendo las obras sociales para intentar sobreponerse a la crísis que plantea el COVID 19 en materia de disminución del financiamiento y tener que hacerse cargo de una mayor carga de enfermedad a la salida de la pandemia. </w:t>
      </w:r>
    </w:p>
    <w:p w:rsidR="00282475" w:rsidRDefault="00282475" w:rsidP="00282475">
      <w:pPr>
        <w:spacing w:after="0" w:line="240" w:lineRule="auto"/>
        <w:jc w:val="both"/>
        <w:rPr>
          <w:color w:val="000000"/>
        </w:rPr>
      </w:pPr>
    </w:p>
    <w:p w:rsidR="00282475" w:rsidRDefault="00282475" w:rsidP="00282475">
      <w:pPr>
        <w:spacing w:after="0" w:line="240" w:lineRule="auto"/>
        <w:jc w:val="both"/>
        <w:rPr>
          <w:color w:val="000000"/>
        </w:rPr>
      </w:pPr>
      <w:r>
        <w:rPr>
          <w:color w:val="000000"/>
        </w:rPr>
        <w:t xml:space="preserve">Las nuevas estrategias sobre las cuales discutiran a futuro los financiadores para poder cerrar sus números son entre otras   la organización de compras conjuntas, agrupamiento de obras sociales, utilización creciente de la evaluación de tecnologías, redefinición del programa médico obligatorio,  e introducción de biosimilares disponibles.  </w:t>
      </w:r>
    </w:p>
    <w:p w:rsidR="0053508F" w:rsidRDefault="0053508F" w:rsidP="00282475">
      <w:pPr>
        <w:spacing w:after="0" w:line="240" w:lineRule="auto"/>
        <w:jc w:val="both"/>
        <w:rPr>
          <w:color w:val="000000"/>
        </w:rPr>
      </w:pPr>
    </w:p>
    <w:p w:rsidR="00750E71" w:rsidRDefault="00750E71" w:rsidP="00282475">
      <w:pPr>
        <w:spacing w:after="0" w:line="240" w:lineRule="auto"/>
        <w:jc w:val="both"/>
        <w:rPr>
          <w:b/>
          <w:color w:val="000000"/>
        </w:rPr>
      </w:pPr>
    </w:p>
    <w:p w:rsidR="00D353FB" w:rsidRPr="00400030" w:rsidRDefault="00400030" w:rsidP="00282475">
      <w:pPr>
        <w:spacing w:after="0" w:line="240" w:lineRule="auto"/>
        <w:jc w:val="both"/>
        <w:rPr>
          <w:b/>
          <w:color w:val="000000"/>
        </w:rPr>
      </w:pPr>
      <w:r w:rsidRPr="00400030">
        <w:rPr>
          <w:b/>
          <w:color w:val="000000"/>
        </w:rPr>
        <w:t xml:space="preserve">PROGRAMA </w:t>
      </w:r>
    </w:p>
    <w:p w:rsidR="00400030" w:rsidRDefault="00400030" w:rsidP="00282475">
      <w:pPr>
        <w:spacing w:after="0" w:line="240" w:lineRule="auto"/>
        <w:jc w:val="both"/>
        <w:rPr>
          <w:color w:val="000000"/>
        </w:rPr>
      </w:pPr>
    </w:p>
    <w:tbl>
      <w:tblPr>
        <w:tblStyle w:val="Tablaconcuadrcula"/>
        <w:tblW w:w="0" w:type="auto"/>
        <w:tblLook w:val="04A0"/>
      </w:tblPr>
      <w:tblGrid>
        <w:gridCol w:w="2235"/>
        <w:gridCol w:w="3118"/>
        <w:gridCol w:w="3625"/>
      </w:tblGrid>
      <w:tr w:rsidR="00AB719D" w:rsidRPr="00750E71" w:rsidTr="00344EDD">
        <w:tc>
          <w:tcPr>
            <w:tcW w:w="2235" w:type="dxa"/>
            <w:shd w:val="clear" w:color="auto" w:fill="548DD4" w:themeFill="text2" w:themeFillTint="99"/>
          </w:tcPr>
          <w:p w:rsidR="00AB719D" w:rsidRPr="00750E71" w:rsidRDefault="00AB719D" w:rsidP="00344EDD">
            <w:pPr>
              <w:jc w:val="center"/>
              <w:rPr>
                <w:b/>
                <w:color w:val="FFFFFF" w:themeColor="background1"/>
              </w:rPr>
            </w:pPr>
            <w:r w:rsidRPr="00750E71">
              <w:rPr>
                <w:b/>
                <w:color w:val="FFFFFF" w:themeColor="background1"/>
              </w:rPr>
              <w:t>FECHA</w:t>
            </w:r>
          </w:p>
          <w:p w:rsidR="00AB719D" w:rsidRPr="00750E71" w:rsidRDefault="00AB719D" w:rsidP="00344EDD">
            <w:pPr>
              <w:jc w:val="center"/>
              <w:rPr>
                <w:b/>
                <w:color w:val="FFFFFF" w:themeColor="background1"/>
              </w:rPr>
            </w:pPr>
            <w:r w:rsidRPr="00750E71">
              <w:rPr>
                <w:b/>
                <w:color w:val="FFFFFF" w:themeColor="background1"/>
              </w:rPr>
              <w:t xml:space="preserve">VIERNES </w:t>
            </w:r>
          </w:p>
          <w:p w:rsidR="00AB719D" w:rsidRPr="00750E71" w:rsidRDefault="00AB719D" w:rsidP="00344EDD">
            <w:pPr>
              <w:jc w:val="center"/>
              <w:rPr>
                <w:b/>
                <w:color w:val="FFFFFF" w:themeColor="background1"/>
              </w:rPr>
            </w:pPr>
          </w:p>
          <w:p w:rsidR="00AB719D" w:rsidRPr="00750E71" w:rsidRDefault="00AB719D" w:rsidP="00344EDD">
            <w:pPr>
              <w:jc w:val="center"/>
              <w:rPr>
                <w:b/>
                <w:color w:val="FFFFFF" w:themeColor="background1"/>
              </w:rPr>
            </w:pPr>
            <w:r w:rsidRPr="00750E71">
              <w:rPr>
                <w:b/>
                <w:color w:val="FFFFFF" w:themeColor="background1"/>
              </w:rPr>
              <w:t>18</w:t>
            </w:r>
            <w:r>
              <w:rPr>
                <w:b/>
                <w:color w:val="FFFFFF" w:themeColor="background1"/>
              </w:rPr>
              <w:t xml:space="preserve">,30 a 20,00 </w:t>
            </w:r>
            <w:r w:rsidRPr="00750E71">
              <w:rPr>
                <w:b/>
                <w:color w:val="FFFFFF" w:themeColor="background1"/>
              </w:rPr>
              <w:t xml:space="preserve"> </w:t>
            </w:r>
          </w:p>
          <w:p w:rsidR="00AB719D" w:rsidRPr="00750E71" w:rsidRDefault="00AB719D" w:rsidP="00344EDD">
            <w:pPr>
              <w:jc w:val="center"/>
              <w:rPr>
                <w:b/>
                <w:color w:val="FFFFFF" w:themeColor="background1"/>
              </w:rPr>
            </w:pPr>
          </w:p>
        </w:tc>
        <w:tc>
          <w:tcPr>
            <w:tcW w:w="3118" w:type="dxa"/>
            <w:shd w:val="clear" w:color="auto" w:fill="548DD4" w:themeFill="text2" w:themeFillTint="99"/>
          </w:tcPr>
          <w:p w:rsidR="00AB719D" w:rsidRPr="00750E71" w:rsidRDefault="00AB719D" w:rsidP="00344EDD">
            <w:pPr>
              <w:jc w:val="center"/>
              <w:rPr>
                <w:b/>
                <w:color w:val="FFFFFF" w:themeColor="background1"/>
              </w:rPr>
            </w:pPr>
            <w:r w:rsidRPr="00750E71">
              <w:rPr>
                <w:b/>
                <w:color w:val="FFFFFF" w:themeColor="background1"/>
              </w:rPr>
              <w:t>TEMA</w:t>
            </w:r>
          </w:p>
        </w:tc>
        <w:tc>
          <w:tcPr>
            <w:tcW w:w="3625" w:type="dxa"/>
            <w:shd w:val="clear" w:color="auto" w:fill="548DD4" w:themeFill="text2" w:themeFillTint="99"/>
          </w:tcPr>
          <w:p w:rsidR="00AB719D" w:rsidRPr="00750E71" w:rsidRDefault="00AB719D" w:rsidP="00344EDD">
            <w:pPr>
              <w:jc w:val="center"/>
              <w:rPr>
                <w:b/>
                <w:color w:val="FFFFFF" w:themeColor="background1"/>
              </w:rPr>
            </w:pPr>
            <w:r w:rsidRPr="00750E71">
              <w:rPr>
                <w:b/>
                <w:color w:val="FFFFFF" w:themeColor="background1"/>
              </w:rPr>
              <w:t>DISERTANTES</w:t>
            </w:r>
          </w:p>
        </w:tc>
      </w:tr>
      <w:tr w:rsidR="00AB719D" w:rsidTr="00344EDD">
        <w:tc>
          <w:tcPr>
            <w:tcW w:w="2235" w:type="dxa"/>
            <w:shd w:val="clear" w:color="auto" w:fill="B8CCE4" w:themeFill="accent1" w:themeFillTint="66"/>
          </w:tcPr>
          <w:p w:rsidR="00AB719D" w:rsidRDefault="00AB719D" w:rsidP="00344EDD">
            <w:pPr>
              <w:jc w:val="center"/>
              <w:rPr>
                <w:b/>
              </w:rPr>
            </w:pPr>
            <w:r>
              <w:rPr>
                <w:b/>
              </w:rPr>
              <w:t xml:space="preserve">28 Agosto </w:t>
            </w:r>
          </w:p>
          <w:p w:rsidR="00AB719D" w:rsidRDefault="00AB719D" w:rsidP="00344EDD">
            <w:pPr>
              <w:jc w:val="center"/>
              <w:rPr>
                <w:b/>
              </w:rPr>
            </w:pPr>
          </w:p>
          <w:p w:rsidR="00AB719D" w:rsidRDefault="00AB719D" w:rsidP="00344EDD">
            <w:pPr>
              <w:jc w:val="center"/>
              <w:rPr>
                <w:b/>
              </w:rPr>
            </w:pPr>
            <w:r>
              <w:rPr>
                <w:b/>
              </w:rPr>
              <w:t xml:space="preserve">Acceso con invitación </w:t>
            </w:r>
          </w:p>
          <w:p w:rsidR="00AB719D" w:rsidRDefault="00AB719D" w:rsidP="00344EDD">
            <w:pPr>
              <w:jc w:val="center"/>
              <w:rPr>
                <w:b/>
              </w:rPr>
            </w:pPr>
          </w:p>
          <w:p w:rsidR="00AB719D" w:rsidRDefault="00AB719D" w:rsidP="00344EDD">
            <w:pPr>
              <w:jc w:val="center"/>
              <w:rPr>
                <w:b/>
              </w:rPr>
            </w:pPr>
          </w:p>
          <w:p w:rsidR="00AB719D" w:rsidRPr="00282475" w:rsidRDefault="00AB719D" w:rsidP="00344EDD">
            <w:pPr>
              <w:rPr>
                <w:b/>
              </w:rPr>
            </w:pPr>
          </w:p>
        </w:tc>
        <w:tc>
          <w:tcPr>
            <w:tcW w:w="3118" w:type="dxa"/>
            <w:shd w:val="clear" w:color="auto" w:fill="B8CCE4" w:themeFill="accent1" w:themeFillTint="66"/>
          </w:tcPr>
          <w:p w:rsidR="00AB719D" w:rsidRPr="00E2356A" w:rsidRDefault="00AB719D" w:rsidP="00344EDD">
            <w:pPr>
              <w:jc w:val="center"/>
              <w:rPr>
                <w:b/>
              </w:rPr>
            </w:pPr>
            <w:r w:rsidRPr="00E2356A">
              <w:rPr>
                <w:b/>
              </w:rPr>
              <w:t xml:space="preserve">El sistema de salud despues de la pandemia: Eficiencia, prioridades y reasignación del gasto. </w:t>
            </w:r>
          </w:p>
        </w:tc>
        <w:tc>
          <w:tcPr>
            <w:tcW w:w="3625" w:type="dxa"/>
            <w:shd w:val="clear" w:color="auto" w:fill="B8CCE4" w:themeFill="accent1" w:themeFillTint="66"/>
          </w:tcPr>
          <w:p w:rsidR="00AB719D" w:rsidRDefault="00AB719D" w:rsidP="00344EDD">
            <w:r>
              <w:t xml:space="preserve">Ruben Torres (Isalud) </w:t>
            </w:r>
          </w:p>
          <w:p w:rsidR="00AB719D" w:rsidRDefault="00AB719D" w:rsidP="00344EDD">
            <w:r>
              <w:t xml:space="preserve">Benjamin Surace (OS. Gastronómicos) </w:t>
            </w:r>
          </w:p>
          <w:p w:rsidR="00AB719D" w:rsidRDefault="00AB719D" w:rsidP="00344EDD"/>
          <w:p w:rsidR="00AB719D" w:rsidRDefault="00AB719D" w:rsidP="00344EDD">
            <w:r>
              <w:t xml:space="preserve">Coordinacion: Alejandro Sonis (IdEB)  </w:t>
            </w:r>
          </w:p>
        </w:tc>
      </w:tr>
      <w:tr w:rsidR="00AB719D" w:rsidTr="00344EDD">
        <w:tc>
          <w:tcPr>
            <w:tcW w:w="2235" w:type="dxa"/>
            <w:shd w:val="clear" w:color="auto" w:fill="B8CCE4" w:themeFill="accent1" w:themeFillTint="66"/>
          </w:tcPr>
          <w:p w:rsidR="00AB719D" w:rsidRPr="00282475" w:rsidRDefault="00AB719D" w:rsidP="00344EDD">
            <w:pPr>
              <w:jc w:val="center"/>
              <w:rPr>
                <w:b/>
              </w:rPr>
            </w:pPr>
            <w:r>
              <w:rPr>
                <w:b/>
              </w:rPr>
              <w:t xml:space="preserve">11 Septiembre  </w:t>
            </w:r>
          </w:p>
          <w:p w:rsidR="00AB719D" w:rsidRPr="00282475" w:rsidRDefault="00AB719D" w:rsidP="00344EDD">
            <w:pPr>
              <w:jc w:val="center"/>
              <w:rPr>
                <w:b/>
              </w:rPr>
            </w:pPr>
          </w:p>
          <w:p w:rsidR="00AB719D" w:rsidRDefault="00AB719D" w:rsidP="00344EDD">
            <w:pPr>
              <w:jc w:val="center"/>
              <w:rPr>
                <w:b/>
              </w:rPr>
            </w:pPr>
            <w:r>
              <w:rPr>
                <w:b/>
              </w:rPr>
              <w:t xml:space="preserve">Acceso con invitación </w:t>
            </w:r>
          </w:p>
          <w:p w:rsidR="00AB719D" w:rsidRPr="00282475" w:rsidRDefault="00AB719D" w:rsidP="00344EDD">
            <w:pPr>
              <w:jc w:val="center"/>
              <w:rPr>
                <w:b/>
              </w:rPr>
            </w:pPr>
          </w:p>
        </w:tc>
        <w:tc>
          <w:tcPr>
            <w:tcW w:w="3118" w:type="dxa"/>
            <w:shd w:val="clear" w:color="auto" w:fill="B8CCE4" w:themeFill="accent1" w:themeFillTint="66"/>
          </w:tcPr>
          <w:p w:rsidR="00AB719D" w:rsidRDefault="00AB719D" w:rsidP="00344EDD">
            <w:pPr>
              <w:jc w:val="center"/>
              <w:rPr>
                <w:b/>
                <w:bCs/>
              </w:rPr>
            </w:pPr>
            <w:r w:rsidRPr="000158A7">
              <w:rPr>
                <w:b/>
                <w:bCs/>
              </w:rPr>
              <w:t xml:space="preserve">La Seguridad Social:  </w:t>
            </w:r>
          </w:p>
          <w:p w:rsidR="00AB719D" w:rsidRPr="000158A7" w:rsidRDefault="00AB719D" w:rsidP="00344EDD">
            <w:pPr>
              <w:jc w:val="center"/>
              <w:rPr>
                <w:b/>
              </w:rPr>
            </w:pPr>
            <w:r w:rsidRPr="000158A7">
              <w:rPr>
                <w:b/>
                <w:bCs/>
              </w:rPr>
              <w:t xml:space="preserve">frente al desafío de la sustentabilidad del acceso a tratamientos especiales </w:t>
            </w:r>
          </w:p>
          <w:p w:rsidR="00AB719D" w:rsidRPr="00E2356A" w:rsidRDefault="00AB719D" w:rsidP="00344EDD">
            <w:pPr>
              <w:jc w:val="center"/>
              <w:rPr>
                <w:b/>
              </w:rPr>
            </w:pPr>
          </w:p>
        </w:tc>
        <w:tc>
          <w:tcPr>
            <w:tcW w:w="3625" w:type="dxa"/>
            <w:shd w:val="clear" w:color="auto" w:fill="B8CCE4" w:themeFill="accent1" w:themeFillTint="66"/>
          </w:tcPr>
          <w:p w:rsidR="00AB719D" w:rsidRDefault="00AB719D" w:rsidP="00344EDD">
            <w:r>
              <w:t xml:space="preserve">Fernando Avellaneda (IPS Tucumán) </w:t>
            </w:r>
          </w:p>
          <w:p w:rsidR="00AB719D" w:rsidRDefault="00AB719D" w:rsidP="00344EDD">
            <w:r>
              <w:t xml:space="preserve">Esteban Lifchitz (UBA – IMSSET) </w:t>
            </w:r>
          </w:p>
          <w:p w:rsidR="00AB719D" w:rsidRDefault="00AB719D" w:rsidP="00344EDD"/>
          <w:p w:rsidR="00AB719D" w:rsidRDefault="00AB719D" w:rsidP="00344EDD">
            <w:r>
              <w:t xml:space="preserve">Coordinación:  Guillermo Oggier (IdEB)  </w:t>
            </w:r>
          </w:p>
          <w:p w:rsidR="00AB719D" w:rsidRDefault="00AB719D" w:rsidP="00344EDD"/>
        </w:tc>
      </w:tr>
      <w:tr w:rsidR="00AB719D" w:rsidTr="00344EDD">
        <w:tc>
          <w:tcPr>
            <w:tcW w:w="2235" w:type="dxa"/>
            <w:shd w:val="clear" w:color="auto" w:fill="B8CCE4" w:themeFill="accent1" w:themeFillTint="66"/>
          </w:tcPr>
          <w:p w:rsidR="00AB719D" w:rsidRDefault="00AB719D" w:rsidP="00344EDD">
            <w:pPr>
              <w:jc w:val="center"/>
              <w:rPr>
                <w:b/>
              </w:rPr>
            </w:pPr>
            <w:r>
              <w:rPr>
                <w:b/>
              </w:rPr>
              <w:t xml:space="preserve">25 Septiembre </w:t>
            </w:r>
          </w:p>
          <w:p w:rsidR="00AB719D" w:rsidRPr="00282475" w:rsidRDefault="00AB719D" w:rsidP="00344EDD">
            <w:pPr>
              <w:jc w:val="center"/>
              <w:rPr>
                <w:b/>
              </w:rPr>
            </w:pPr>
          </w:p>
          <w:p w:rsidR="00AB719D" w:rsidRDefault="00AB719D" w:rsidP="00344EDD">
            <w:pPr>
              <w:jc w:val="center"/>
              <w:rPr>
                <w:b/>
              </w:rPr>
            </w:pPr>
            <w:r>
              <w:rPr>
                <w:b/>
              </w:rPr>
              <w:t xml:space="preserve">Acceso con invitación </w:t>
            </w:r>
          </w:p>
          <w:p w:rsidR="00AB719D" w:rsidRPr="00282475" w:rsidRDefault="00AB719D" w:rsidP="00344EDD">
            <w:pPr>
              <w:jc w:val="center"/>
              <w:rPr>
                <w:b/>
              </w:rPr>
            </w:pPr>
          </w:p>
        </w:tc>
        <w:tc>
          <w:tcPr>
            <w:tcW w:w="3118" w:type="dxa"/>
            <w:shd w:val="clear" w:color="auto" w:fill="B8CCE4" w:themeFill="accent1" w:themeFillTint="66"/>
          </w:tcPr>
          <w:p w:rsidR="00AB719D" w:rsidRPr="000158A7" w:rsidRDefault="00AB719D" w:rsidP="00344EDD">
            <w:pPr>
              <w:jc w:val="center"/>
            </w:pPr>
            <w:r w:rsidRPr="000158A7">
              <w:rPr>
                <w:b/>
                <w:bCs/>
                <w:i/>
                <w:iCs/>
              </w:rPr>
              <w:t xml:space="preserve">Los medicamentos biotecnológicos: financiamiento, consumo y precios. Experiencias internacionales y el caso argentino. </w:t>
            </w:r>
          </w:p>
          <w:p w:rsidR="00AB719D" w:rsidRDefault="00AB719D" w:rsidP="00344EDD">
            <w:pPr>
              <w:jc w:val="center"/>
            </w:pPr>
          </w:p>
        </w:tc>
        <w:tc>
          <w:tcPr>
            <w:tcW w:w="3625" w:type="dxa"/>
            <w:shd w:val="clear" w:color="auto" w:fill="B8CCE4" w:themeFill="accent1" w:themeFillTint="66"/>
          </w:tcPr>
          <w:p w:rsidR="00AB719D" w:rsidRDefault="00AB719D" w:rsidP="00344EDD">
            <w:r>
              <w:t>Carlos Vassallo Sella (IdEB)</w:t>
            </w:r>
          </w:p>
          <w:p w:rsidR="00AB719D" w:rsidRDefault="00AB719D" w:rsidP="00344EDD">
            <w:r>
              <w:t>Carlos Gonzalez Malla (IdEB)</w:t>
            </w:r>
          </w:p>
          <w:p w:rsidR="00AB719D" w:rsidRDefault="00AB719D" w:rsidP="00344EDD"/>
          <w:p w:rsidR="00AB719D" w:rsidRDefault="00AB719D" w:rsidP="00344EDD">
            <w:r>
              <w:t xml:space="preserve">Coordinación: Rubén Roldan (IdEB)  </w:t>
            </w:r>
          </w:p>
          <w:p w:rsidR="00AB719D" w:rsidRDefault="00AB719D" w:rsidP="00344EDD"/>
        </w:tc>
      </w:tr>
    </w:tbl>
    <w:p w:rsidR="0037202E" w:rsidRDefault="0037202E"/>
    <w:p w:rsidR="00852626" w:rsidRDefault="00852626" w:rsidP="002E7CF4">
      <w:pPr>
        <w:jc w:val="both"/>
      </w:pPr>
    </w:p>
    <w:sectPr w:rsidR="00852626" w:rsidSect="001A6E7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E5F" w:rsidRDefault="00613E5F" w:rsidP="00282475">
      <w:pPr>
        <w:spacing w:after="0" w:line="240" w:lineRule="auto"/>
      </w:pPr>
      <w:r>
        <w:separator/>
      </w:r>
    </w:p>
  </w:endnote>
  <w:endnote w:type="continuationSeparator" w:id="1">
    <w:p w:rsidR="00613E5F" w:rsidRDefault="00613E5F" w:rsidP="00282475">
      <w:pPr>
        <w:spacing w:after="0" w:line="240" w:lineRule="auto"/>
      </w:pPr>
      <w:r>
        <w:continuationSeparator/>
      </w:r>
    </w:p>
  </w:endnote>
  <w:endnote w:id="2">
    <w:p w:rsidR="00282475" w:rsidRPr="00852626" w:rsidRDefault="00852626" w:rsidP="00852626">
      <w:pPr>
        <w:spacing w:after="0" w:line="240" w:lineRule="auto"/>
        <w:jc w:val="both"/>
        <w:rPr>
          <w:rFonts w:eastAsia="Times New Roman"/>
          <w:sz w:val="24"/>
          <w:szCs w:val="24"/>
        </w:rPr>
      </w:pPr>
      <w:r>
        <w:rPr>
          <w:rFonts w:eastAsia="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E5F" w:rsidRDefault="00613E5F" w:rsidP="00282475">
      <w:pPr>
        <w:spacing w:after="0" w:line="240" w:lineRule="auto"/>
      </w:pPr>
      <w:r>
        <w:separator/>
      </w:r>
    </w:p>
  </w:footnote>
  <w:footnote w:type="continuationSeparator" w:id="1">
    <w:p w:rsidR="00613E5F" w:rsidRDefault="00613E5F" w:rsidP="00282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6AC6"/>
    <w:multiLevelType w:val="hybridMultilevel"/>
    <w:tmpl w:val="280CAFBE"/>
    <w:lvl w:ilvl="0" w:tplc="ED4E521A">
      <w:start w:val="1"/>
      <w:numFmt w:val="bullet"/>
      <w:lvlText w:val="-"/>
      <w:lvlJc w:val="left"/>
      <w:pPr>
        <w:ind w:left="990" w:hanging="360"/>
      </w:pPr>
      <w:rPr>
        <w:rFonts w:ascii="Calibri" w:eastAsia="Calibri" w:hAnsi="Calibri" w:cs="Calibri" w:hint="default"/>
        <w:b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nsid w:val="77AE2F8D"/>
    <w:multiLevelType w:val="hybridMultilevel"/>
    <w:tmpl w:val="DD72E9E2"/>
    <w:lvl w:ilvl="0" w:tplc="8588556E">
      <w:start w:val="1"/>
      <w:numFmt w:val="lowerLetter"/>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37202E"/>
    <w:rsid w:val="00001A40"/>
    <w:rsid w:val="0003074C"/>
    <w:rsid w:val="00047694"/>
    <w:rsid w:val="00075473"/>
    <w:rsid w:val="000C0EBC"/>
    <w:rsid w:val="00116304"/>
    <w:rsid w:val="00126DE1"/>
    <w:rsid w:val="001339B9"/>
    <w:rsid w:val="001849C9"/>
    <w:rsid w:val="00196C55"/>
    <w:rsid w:val="001A6E78"/>
    <w:rsid w:val="001D054E"/>
    <w:rsid w:val="001F0ACD"/>
    <w:rsid w:val="00204977"/>
    <w:rsid w:val="00206433"/>
    <w:rsid w:val="00232B38"/>
    <w:rsid w:val="0024186A"/>
    <w:rsid w:val="002507DD"/>
    <w:rsid w:val="0028021B"/>
    <w:rsid w:val="00282475"/>
    <w:rsid w:val="002B79BC"/>
    <w:rsid w:val="002E3C27"/>
    <w:rsid w:val="002E7CF4"/>
    <w:rsid w:val="002F2E8A"/>
    <w:rsid w:val="002F74F7"/>
    <w:rsid w:val="00352E28"/>
    <w:rsid w:val="0037202E"/>
    <w:rsid w:val="00400030"/>
    <w:rsid w:val="004121FE"/>
    <w:rsid w:val="00415452"/>
    <w:rsid w:val="00422D31"/>
    <w:rsid w:val="00425B76"/>
    <w:rsid w:val="004373FC"/>
    <w:rsid w:val="004755CC"/>
    <w:rsid w:val="004B0A8D"/>
    <w:rsid w:val="004F14D8"/>
    <w:rsid w:val="00505E3E"/>
    <w:rsid w:val="005207E6"/>
    <w:rsid w:val="0053508F"/>
    <w:rsid w:val="00541DC1"/>
    <w:rsid w:val="00590C13"/>
    <w:rsid w:val="005969E7"/>
    <w:rsid w:val="005A4E76"/>
    <w:rsid w:val="00613E5F"/>
    <w:rsid w:val="006955E9"/>
    <w:rsid w:val="006B78B9"/>
    <w:rsid w:val="006F3C01"/>
    <w:rsid w:val="006F62D6"/>
    <w:rsid w:val="00750E71"/>
    <w:rsid w:val="00766B41"/>
    <w:rsid w:val="007A3099"/>
    <w:rsid w:val="007B1285"/>
    <w:rsid w:val="00852626"/>
    <w:rsid w:val="00893E05"/>
    <w:rsid w:val="008B2DFB"/>
    <w:rsid w:val="008C380A"/>
    <w:rsid w:val="008C6679"/>
    <w:rsid w:val="00997293"/>
    <w:rsid w:val="009A21EA"/>
    <w:rsid w:val="00A45116"/>
    <w:rsid w:val="00A8038F"/>
    <w:rsid w:val="00AA0B3F"/>
    <w:rsid w:val="00AA56A2"/>
    <w:rsid w:val="00AA671D"/>
    <w:rsid w:val="00AB719D"/>
    <w:rsid w:val="00B366F3"/>
    <w:rsid w:val="00BA2B3A"/>
    <w:rsid w:val="00BB0921"/>
    <w:rsid w:val="00BE4F9C"/>
    <w:rsid w:val="00BF18A0"/>
    <w:rsid w:val="00C077A9"/>
    <w:rsid w:val="00CE7625"/>
    <w:rsid w:val="00CF3B20"/>
    <w:rsid w:val="00D353FB"/>
    <w:rsid w:val="00D368DF"/>
    <w:rsid w:val="00D727EA"/>
    <w:rsid w:val="00D73B2E"/>
    <w:rsid w:val="00DD1D0C"/>
    <w:rsid w:val="00DE2FCF"/>
    <w:rsid w:val="00DF103E"/>
    <w:rsid w:val="00E2356A"/>
    <w:rsid w:val="00E657D7"/>
    <w:rsid w:val="00E74038"/>
    <w:rsid w:val="00E76DC9"/>
    <w:rsid w:val="00E84198"/>
    <w:rsid w:val="00E91AE9"/>
    <w:rsid w:val="00E94F3A"/>
    <w:rsid w:val="00F756A1"/>
    <w:rsid w:val="00FD6E1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A3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099"/>
    <w:rPr>
      <w:rFonts w:ascii="Tahoma" w:hAnsi="Tahoma" w:cs="Tahoma"/>
      <w:sz w:val="16"/>
      <w:szCs w:val="16"/>
    </w:rPr>
  </w:style>
  <w:style w:type="paragraph" w:styleId="Textonotaalfinal">
    <w:name w:val="endnote text"/>
    <w:basedOn w:val="Normal"/>
    <w:link w:val="TextonotaalfinalCar"/>
    <w:uiPriority w:val="99"/>
    <w:semiHidden/>
    <w:unhideWhenUsed/>
    <w:rsid w:val="00282475"/>
    <w:pPr>
      <w:spacing w:after="0" w:line="240" w:lineRule="auto"/>
    </w:pPr>
    <w:rPr>
      <w:rFonts w:ascii="Calibri" w:eastAsia="Calibri" w:hAnsi="Calibri" w:cs="Calibri"/>
      <w:sz w:val="20"/>
      <w:szCs w:val="20"/>
      <w:lang w:eastAsia="es-ES"/>
    </w:rPr>
  </w:style>
  <w:style w:type="character" w:customStyle="1" w:styleId="TextonotaalfinalCar">
    <w:name w:val="Texto nota al final Car"/>
    <w:basedOn w:val="Fuentedeprrafopredeter"/>
    <w:link w:val="Textonotaalfinal"/>
    <w:uiPriority w:val="99"/>
    <w:semiHidden/>
    <w:rsid w:val="00282475"/>
    <w:rPr>
      <w:rFonts w:ascii="Calibri" w:eastAsia="Calibri" w:hAnsi="Calibri" w:cs="Calibri"/>
      <w:sz w:val="20"/>
      <w:szCs w:val="20"/>
      <w:lang w:eastAsia="es-ES"/>
    </w:rPr>
  </w:style>
  <w:style w:type="character" w:styleId="Refdenotaalfinal">
    <w:name w:val="endnote reference"/>
    <w:basedOn w:val="Fuentedeprrafopredeter"/>
    <w:uiPriority w:val="99"/>
    <w:semiHidden/>
    <w:unhideWhenUsed/>
    <w:rsid w:val="00282475"/>
    <w:rPr>
      <w:vertAlign w:val="superscript"/>
    </w:rPr>
  </w:style>
  <w:style w:type="paragraph" w:styleId="Encabezado">
    <w:name w:val="header"/>
    <w:basedOn w:val="Normal"/>
    <w:link w:val="EncabezadoCar"/>
    <w:uiPriority w:val="99"/>
    <w:unhideWhenUsed/>
    <w:rsid w:val="0004769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47694"/>
  </w:style>
  <w:style w:type="paragraph" w:styleId="Piedepgina">
    <w:name w:val="footer"/>
    <w:basedOn w:val="Normal"/>
    <w:link w:val="PiedepginaCar"/>
    <w:uiPriority w:val="99"/>
    <w:unhideWhenUsed/>
    <w:rsid w:val="0004769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7694"/>
  </w:style>
  <w:style w:type="paragraph" w:styleId="Prrafodelista">
    <w:name w:val="List Paragraph"/>
    <w:basedOn w:val="Normal"/>
    <w:uiPriority w:val="34"/>
    <w:qFormat/>
    <w:rsid w:val="0053508F"/>
    <w:pPr>
      <w:ind w:left="720"/>
      <w:contextualSpacing/>
    </w:pPr>
  </w:style>
</w:styles>
</file>

<file path=word/webSettings.xml><?xml version="1.0" encoding="utf-8"?>
<w:webSettings xmlns:r="http://schemas.openxmlformats.org/officeDocument/2006/relationships" xmlns:w="http://schemas.openxmlformats.org/wordprocessingml/2006/main">
  <w:divs>
    <w:div w:id="539438998">
      <w:bodyDiv w:val="1"/>
      <w:marLeft w:val="0"/>
      <w:marRight w:val="0"/>
      <w:marTop w:val="0"/>
      <w:marBottom w:val="0"/>
      <w:divBdr>
        <w:top w:val="none" w:sz="0" w:space="0" w:color="auto"/>
        <w:left w:val="none" w:sz="0" w:space="0" w:color="auto"/>
        <w:bottom w:val="none" w:sz="0" w:space="0" w:color="auto"/>
        <w:right w:val="none" w:sz="0" w:space="0" w:color="auto"/>
      </w:divBdr>
    </w:div>
    <w:div w:id="695540908">
      <w:bodyDiv w:val="1"/>
      <w:marLeft w:val="0"/>
      <w:marRight w:val="0"/>
      <w:marTop w:val="0"/>
      <w:marBottom w:val="0"/>
      <w:divBdr>
        <w:top w:val="none" w:sz="0" w:space="0" w:color="auto"/>
        <w:left w:val="none" w:sz="0" w:space="0" w:color="auto"/>
        <w:bottom w:val="none" w:sz="0" w:space="0" w:color="auto"/>
        <w:right w:val="none" w:sz="0" w:space="0" w:color="auto"/>
      </w:divBdr>
    </w:div>
    <w:div w:id="1237008618">
      <w:bodyDiv w:val="1"/>
      <w:marLeft w:val="0"/>
      <w:marRight w:val="0"/>
      <w:marTop w:val="0"/>
      <w:marBottom w:val="0"/>
      <w:divBdr>
        <w:top w:val="none" w:sz="0" w:space="0" w:color="auto"/>
        <w:left w:val="none" w:sz="0" w:space="0" w:color="auto"/>
        <w:bottom w:val="none" w:sz="0" w:space="0" w:color="auto"/>
        <w:right w:val="none" w:sz="0" w:space="0" w:color="auto"/>
      </w:divBdr>
    </w:div>
    <w:div w:id="1694577738">
      <w:bodyDiv w:val="1"/>
      <w:marLeft w:val="0"/>
      <w:marRight w:val="0"/>
      <w:marTop w:val="0"/>
      <w:marBottom w:val="0"/>
      <w:divBdr>
        <w:top w:val="none" w:sz="0" w:space="0" w:color="auto"/>
        <w:left w:val="none" w:sz="0" w:space="0" w:color="auto"/>
        <w:bottom w:val="none" w:sz="0" w:space="0" w:color="auto"/>
        <w:right w:val="none" w:sz="0" w:space="0" w:color="auto"/>
      </w:divBdr>
    </w:div>
    <w:div w:id="19730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Props1.xml><?xml version="1.0" encoding="utf-8"?>
<ds:datastoreItem xmlns:ds="http://schemas.openxmlformats.org/officeDocument/2006/customXml" ds:itemID="{9A6A0E59-D7FD-4316-BE0B-3FF05DC156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CarlosV</dc:creator>
  <cp:keywords>*$%PUB-*$%GenBus</cp:keywords>
  <cp:lastModifiedBy>CarlosV</cp:lastModifiedBy>
  <cp:revision>3</cp:revision>
  <cp:lastPrinted>2020-08-04T19:29:00Z</cp:lastPrinted>
  <dcterms:created xsi:type="dcterms:W3CDTF">2020-08-22T12:45:00Z</dcterms:created>
  <dcterms:modified xsi:type="dcterms:W3CDTF">2020-08-23T18:45:00Z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8c7dd794-4e67-4e73-9919-1c5aaadce899</vt:lpwstr>
  </property>
  <property fmtid="{D5CDD505-2E9C-101B-9397-08002B2CF9AE}" pid="3" name="bjSaver">
    <vt:lpwstr>k6VNiidFsoFYpgAxgUqcjkChCVkFCCe9</vt:lpwstr>
  </property>
  <property fmtid="{D5CDD505-2E9C-101B-9397-08002B2CF9AE}" pid="4" name="bjDocumentLabelXML">
    <vt:lpwstr>&lt;?xml version="1.0" encoding="us-ascii"?&gt;&lt;sisl xmlns:xsd="http://www.w3.org/2001/XMLSchema" xmlns:xsi="http://www.w3.org/2001/XMLSchema-instance"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6" name="bjDocumentSecurityLabel">
    <vt:lpwstr>Public - General Business</vt:lpwstr>
  </property>
</Properties>
</file>